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436"/>
        <w:gridCol w:w="3244"/>
        <w:gridCol w:w="809"/>
        <w:gridCol w:w="719"/>
        <w:gridCol w:w="1081"/>
        <w:gridCol w:w="1322"/>
        <w:gridCol w:w="11"/>
      </w:tblGrid>
      <w:tr w:rsidR="0091597B" w:rsidRPr="0091597B" w14:paraId="4A4DE37E" w14:textId="77777777" w:rsidTr="006E6247">
        <w:trPr>
          <w:trHeight w:val="521"/>
        </w:trPr>
        <w:tc>
          <w:tcPr>
            <w:tcW w:w="5000" w:type="pct"/>
            <w:gridSpan w:val="8"/>
            <w:shd w:val="clear" w:color="auto" w:fill="031F48" w:themeFill="accent1"/>
            <w:noWrap/>
            <w:vAlign w:val="center"/>
          </w:tcPr>
          <w:p w14:paraId="78074779" w14:textId="4DF98643" w:rsidR="0091597B" w:rsidRPr="0091597B" w:rsidRDefault="00AF55B2" w:rsidP="0091597B">
            <w:pPr>
              <w:spacing w:before="60" w:after="60" w:line="240" w:lineRule="auto"/>
              <w:jc w:val="center"/>
              <w:rPr>
                <w:smallCaps/>
                <w:color w:val="FFFFFF" w:themeColor="background1"/>
                <w:sz w:val="28"/>
                <w:szCs w:val="28"/>
              </w:rPr>
            </w:pPr>
            <w:r w:rsidRPr="00AF55B2">
              <w:rPr>
                <w:smallCaps/>
                <w:color w:val="FFFFFF" w:themeColor="background1"/>
                <w:sz w:val="28"/>
                <w:szCs w:val="28"/>
              </w:rPr>
              <w:t>Occupancy Certification</w:t>
            </w:r>
          </w:p>
        </w:tc>
      </w:tr>
      <w:tr w:rsidR="006E6247" w14:paraId="28DB0A98" w14:textId="77777777" w:rsidTr="006E6247">
        <w:trPr>
          <w:gridAfter w:val="1"/>
          <w:wAfter w:w="5" w:type="pct"/>
        </w:trPr>
        <w:tc>
          <w:tcPr>
            <w:tcW w:w="899" w:type="pct"/>
            <w:tcBorders>
              <w:bottom w:val="single" w:sz="4" w:space="0" w:color="FFFFFF" w:themeColor="background1"/>
            </w:tcBorders>
            <w:shd w:val="clear" w:color="auto" w:fill="EFEEEE" w:themeFill="accent4" w:themeFillTint="33"/>
            <w:tcMar>
              <w:top w:w="58" w:type="dxa"/>
              <w:left w:w="115" w:type="dxa"/>
              <w:bottom w:w="58" w:type="dxa"/>
              <w:right w:w="115" w:type="dxa"/>
            </w:tcMar>
            <w:vAlign w:val="center"/>
          </w:tcPr>
          <w:p w14:paraId="2B51AD83" w14:textId="77777777" w:rsidR="006E6247" w:rsidRPr="006E6247" w:rsidRDefault="006E6247" w:rsidP="006E6247">
            <w:pPr>
              <w:spacing w:after="0" w:line="240" w:lineRule="auto"/>
              <w:rPr>
                <w:b/>
                <w:bCs/>
                <w:i/>
                <w:iCs/>
                <w:szCs w:val="20"/>
              </w:rPr>
            </w:pPr>
            <w:r w:rsidRPr="006E6247">
              <w:rPr>
                <w:b/>
                <w:bCs/>
                <w:i/>
                <w:iCs/>
                <w:szCs w:val="20"/>
              </w:rPr>
              <w:t>Borrower:</w:t>
            </w:r>
          </w:p>
        </w:tc>
        <w:tc>
          <w:tcPr>
            <w:tcW w:w="4096" w:type="pct"/>
            <w:gridSpan w:val="6"/>
            <w:tcBorders>
              <w:bottom w:val="single" w:sz="4" w:space="0" w:color="auto"/>
            </w:tcBorders>
            <w:tcMar>
              <w:top w:w="58" w:type="dxa"/>
              <w:left w:w="115" w:type="dxa"/>
              <w:bottom w:w="58" w:type="dxa"/>
              <w:right w:w="115" w:type="dxa"/>
            </w:tcMar>
            <w:vAlign w:val="center"/>
          </w:tcPr>
          <w:p w14:paraId="777A45F7" w14:textId="77777777" w:rsidR="006E6247" w:rsidRPr="00907293" w:rsidRDefault="006E6247" w:rsidP="006E6247">
            <w:pPr>
              <w:spacing w:line="240" w:lineRule="auto"/>
              <w:rPr>
                <w:szCs w:val="20"/>
              </w:rPr>
            </w:pPr>
          </w:p>
        </w:tc>
      </w:tr>
      <w:tr w:rsidR="006E6247" w14:paraId="66EF8A2D" w14:textId="77777777" w:rsidTr="006E6247">
        <w:trPr>
          <w:gridAfter w:val="1"/>
          <w:wAfter w:w="5" w:type="pct"/>
        </w:trPr>
        <w:tc>
          <w:tcPr>
            <w:tcW w:w="899" w:type="pct"/>
            <w:tcBorders>
              <w:top w:val="single" w:sz="4" w:space="0" w:color="FFFFFF" w:themeColor="background1"/>
              <w:bottom w:val="single" w:sz="4" w:space="0" w:color="FFFFFF" w:themeColor="background1"/>
            </w:tcBorders>
            <w:shd w:val="clear" w:color="auto" w:fill="EFEEEE" w:themeFill="accent4" w:themeFillTint="33"/>
            <w:tcMar>
              <w:top w:w="58" w:type="dxa"/>
              <w:left w:w="115" w:type="dxa"/>
              <w:bottom w:w="58" w:type="dxa"/>
              <w:right w:w="115" w:type="dxa"/>
            </w:tcMar>
            <w:vAlign w:val="center"/>
          </w:tcPr>
          <w:p w14:paraId="7632386A" w14:textId="77777777" w:rsidR="006E6247" w:rsidRPr="006E6247" w:rsidRDefault="006E6247" w:rsidP="006E6247">
            <w:pPr>
              <w:spacing w:after="0" w:line="240" w:lineRule="auto"/>
              <w:rPr>
                <w:b/>
                <w:bCs/>
                <w:i/>
                <w:iCs/>
                <w:szCs w:val="20"/>
              </w:rPr>
            </w:pPr>
            <w:r w:rsidRPr="006E6247">
              <w:rPr>
                <w:b/>
                <w:bCs/>
                <w:i/>
                <w:iCs/>
                <w:szCs w:val="20"/>
              </w:rPr>
              <w:t>Co-Borrower(s):</w:t>
            </w:r>
          </w:p>
        </w:tc>
        <w:tc>
          <w:tcPr>
            <w:tcW w:w="4096" w:type="pct"/>
            <w:gridSpan w:val="6"/>
            <w:tcBorders>
              <w:top w:val="single" w:sz="4" w:space="0" w:color="auto"/>
              <w:bottom w:val="single" w:sz="4" w:space="0" w:color="auto"/>
            </w:tcBorders>
            <w:tcMar>
              <w:top w:w="58" w:type="dxa"/>
              <w:left w:w="115" w:type="dxa"/>
              <w:bottom w:w="58" w:type="dxa"/>
              <w:right w:w="115" w:type="dxa"/>
            </w:tcMar>
            <w:vAlign w:val="center"/>
          </w:tcPr>
          <w:p w14:paraId="7FAB3A7B" w14:textId="77777777" w:rsidR="006E6247" w:rsidRPr="00907293" w:rsidRDefault="006E6247" w:rsidP="006E6247">
            <w:pPr>
              <w:spacing w:line="240" w:lineRule="auto"/>
              <w:rPr>
                <w:szCs w:val="20"/>
              </w:rPr>
            </w:pPr>
          </w:p>
        </w:tc>
      </w:tr>
      <w:tr w:rsidR="006E6247" w14:paraId="5BE25B11" w14:textId="77777777" w:rsidTr="006E6247">
        <w:trPr>
          <w:gridAfter w:val="1"/>
          <w:wAfter w:w="5" w:type="pct"/>
        </w:trPr>
        <w:tc>
          <w:tcPr>
            <w:tcW w:w="899" w:type="pct"/>
            <w:tcBorders>
              <w:top w:val="single" w:sz="4" w:space="0" w:color="FFFFFF" w:themeColor="background1"/>
            </w:tcBorders>
            <w:shd w:val="clear" w:color="auto" w:fill="EFEEEE" w:themeFill="accent4" w:themeFillTint="33"/>
            <w:tcMar>
              <w:top w:w="58" w:type="dxa"/>
              <w:left w:w="115" w:type="dxa"/>
              <w:bottom w:w="58" w:type="dxa"/>
              <w:right w:w="115" w:type="dxa"/>
            </w:tcMar>
            <w:vAlign w:val="center"/>
          </w:tcPr>
          <w:p w14:paraId="0E94C62E" w14:textId="77777777" w:rsidR="006E6247" w:rsidRPr="006E6247" w:rsidRDefault="006E6247" w:rsidP="006E6247">
            <w:pPr>
              <w:spacing w:after="0" w:line="240" w:lineRule="auto"/>
              <w:rPr>
                <w:b/>
                <w:bCs/>
                <w:i/>
                <w:iCs/>
                <w:szCs w:val="20"/>
              </w:rPr>
            </w:pPr>
            <w:r w:rsidRPr="006E6247">
              <w:rPr>
                <w:b/>
                <w:bCs/>
                <w:i/>
                <w:iCs/>
                <w:szCs w:val="20"/>
              </w:rPr>
              <w:t>Property Address:</w:t>
            </w:r>
          </w:p>
        </w:tc>
        <w:tc>
          <w:tcPr>
            <w:tcW w:w="4096" w:type="pct"/>
            <w:gridSpan w:val="6"/>
            <w:tcBorders>
              <w:top w:val="single" w:sz="4" w:space="0" w:color="auto"/>
              <w:bottom w:val="single" w:sz="4" w:space="0" w:color="auto"/>
            </w:tcBorders>
            <w:tcMar>
              <w:top w:w="58" w:type="dxa"/>
              <w:left w:w="115" w:type="dxa"/>
              <w:bottom w:w="58" w:type="dxa"/>
              <w:right w:w="115" w:type="dxa"/>
            </w:tcMar>
            <w:vAlign w:val="center"/>
          </w:tcPr>
          <w:p w14:paraId="7C83806A" w14:textId="77777777" w:rsidR="006E6247" w:rsidRPr="00907293" w:rsidRDefault="006E6247" w:rsidP="006E6247">
            <w:pPr>
              <w:spacing w:line="240" w:lineRule="auto"/>
              <w:rPr>
                <w:szCs w:val="20"/>
              </w:rPr>
            </w:pPr>
          </w:p>
        </w:tc>
      </w:tr>
      <w:tr w:rsidR="006E6247" w14:paraId="0097CE5E" w14:textId="77777777" w:rsidTr="006E6247">
        <w:trPr>
          <w:gridAfter w:val="1"/>
          <w:wAfter w:w="5" w:type="pct"/>
        </w:trPr>
        <w:tc>
          <w:tcPr>
            <w:tcW w:w="899" w:type="pct"/>
            <w:tcMar>
              <w:top w:w="58" w:type="dxa"/>
              <w:left w:w="115" w:type="dxa"/>
              <w:bottom w:w="58" w:type="dxa"/>
              <w:right w:w="115" w:type="dxa"/>
            </w:tcMar>
            <w:vAlign w:val="center"/>
          </w:tcPr>
          <w:p w14:paraId="15CC7F0F" w14:textId="77777777" w:rsidR="006E6247" w:rsidRPr="00907293" w:rsidRDefault="006E6247" w:rsidP="006E6247">
            <w:pPr>
              <w:spacing w:line="240" w:lineRule="auto"/>
              <w:rPr>
                <w:szCs w:val="20"/>
              </w:rPr>
            </w:pPr>
          </w:p>
        </w:tc>
        <w:tc>
          <w:tcPr>
            <w:tcW w:w="683" w:type="pct"/>
            <w:tcBorders>
              <w:top w:val="single" w:sz="4" w:space="0" w:color="auto"/>
            </w:tcBorders>
            <w:shd w:val="clear" w:color="auto" w:fill="EFEEEE" w:themeFill="accent4" w:themeFillTint="33"/>
            <w:tcMar>
              <w:top w:w="58" w:type="dxa"/>
              <w:left w:w="115" w:type="dxa"/>
              <w:bottom w:w="58" w:type="dxa"/>
              <w:right w:w="115" w:type="dxa"/>
            </w:tcMar>
            <w:vAlign w:val="bottom"/>
          </w:tcPr>
          <w:p w14:paraId="19B76313" w14:textId="18F66A6E" w:rsidR="006E6247" w:rsidRPr="006E6247" w:rsidRDefault="006E6247" w:rsidP="006E6247">
            <w:pPr>
              <w:spacing w:after="40" w:line="240" w:lineRule="auto"/>
              <w:rPr>
                <w:b/>
                <w:bCs/>
                <w:i/>
                <w:iCs/>
                <w:szCs w:val="20"/>
              </w:rPr>
            </w:pPr>
            <w:r w:rsidRPr="006E6247">
              <w:rPr>
                <w:b/>
                <w:bCs/>
                <w:i/>
                <w:iCs/>
                <w:szCs w:val="20"/>
              </w:rPr>
              <w:t>City:</w:t>
            </w:r>
          </w:p>
        </w:tc>
        <w:tc>
          <w:tcPr>
            <w:tcW w:w="1543" w:type="pct"/>
            <w:tcBorders>
              <w:top w:val="single" w:sz="4" w:space="0" w:color="auto"/>
              <w:bottom w:val="single" w:sz="4" w:space="0" w:color="auto"/>
            </w:tcBorders>
            <w:vAlign w:val="bottom"/>
          </w:tcPr>
          <w:p w14:paraId="2B609463" w14:textId="77777777" w:rsidR="006E6247" w:rsidRPr="00907293" w:rsidRDefault="006E6247" w:rsidP="006E6247">
            <w:pPr>
              <w:spacing w:after="40" w:line="240" w:lineRule="auto"/>
              <w:rPr>
                <w:szCs w:val="20"/>
              </w:rPr>
            </w:pPr>
          </w:p>
        </w:tc>
        <w:tc>
          <w:tcPr>
            <w:tcW w:w="385" w:type="pct"/>
            <w:tcBorders>
              <w:top w:val="single" w:sz="4" w:space="0" w:color="auto"/>
            </w:tcBorders>
            <w:shd w:val="clear" w:color="auto" w:fill="EFEEEE" w:themeFill="accent4" w:themeFillTint="33"/>
            <w:vAlign w:val="bottom"/>
          </w:tcPr>
          <w:p w14:paraId="3329748E" w14:textId="161DBF73" w:rsidR="006E6247" w:rsidRPr="006E6247" w:rsidRDefault="006E6247" w:rsidP="006E6247">
            <w:pPr>
              <w:spacing w:after="40" w:line="240" w:lineRule="auto"/>
              <w:rPr>
                <w:b/>
                <w:bCs/>
                <w:i/>
                <w:iCs/>
                <w:szCs w:val="20"/>
              </w:rPr>
            </w:pPr>
            <w:r w:rsidRPr="006E6247">
              <w:rPr>
                <w:b/>
                <w:bCs/>
                <w:i/>
                <w:iCs/>
                <w:szCs w:val="20"/>
              </w:rPr>
              <w:t>State:</w:t>
            </w:r>
          </w:p>
        </w:tc>
        <w:tc>
          <w:tcPr>
            <w:tcW w:w="342" w:type="pct"/>
            <w:tcBorders>
              <w:top w:val="single" w:sz="4" w:space="0" w:color="auto"/>
              <w:bottom w:val="single" w:sz="4" w:space="0" w:color="auto"/>
            </w:tcBorders>
            <w:vAlign w:val="bottom"/>
          </w:tcPr>
          <w:p w14:paraId="58693637" w14:textId="77777777" w:rsidR="006E6247" w:rsidRPr="00907293" w:rsidRDefault="006E6247" w:rsidP="006E6247">
            <w:pPr>
              <w:spacing w:after="40" w:line="240" w:lineRule="auto"/>
              <w:rPr>
                <w:szCs w:val="20"/>
              </w:rPr>
            </w:pPr>
          </w:p>
        </w:tc>
        <w:tc>
          <w:tcPr>
            <w:tcW w:w="514" w:type="pct"/>
            <w:tcBorders>
              <w:top w:val="single" w:sz="4" w:space="0" w:color="auto"/>
            </w:tcBorders>
            <w:shd w:val="clear" w:color="auto" w:fill="EFEEEE" w:themeFill="accent4" w:themeFillTint="33"/>
            <w:vAlign w:val="bottom"/>
          </w:tcPr>
          <w:p w14:paraId="5751B286" w14:textId="14916540" w:rsidR="006E6247" w:rsidRPr="006E6247" w:rsidRDefault="006E6247" w:rsidP="006E6247">
            <w:pPr>
              <w:spacing w:after="40" w:line="240" w:lineRule="auto"/>
              <w:rPr>
                <w:b/>
                <w:bCs/>
                <w:i/>
                <w:iCs/>
                <w:szCs w:val="20"/>
              </w:rPr>
            </w:pPr>
            <w:r w:rsidRPr="006E6247">
              <w:rPr>
                <w:b/>
                <w:bCs/>
                <w:i/>
                <w:iCs/>
                <w:szCs w:val="20"/>
              </w:rPr>
              <w:t>Zip Code:</w:t>
            </w:r>
          </w:p>
        </w:tc>
        <w:tc>
          <w:tcPr>
            <w:tcW w:w="629" w:type="pct"/>
            <w:tcBorders>
              <w:top w:val="single" w:sz="4" w:space="0" w:color="auto"/>
              <w:bottom w:val="single" w:sz="4" w:space="0" w:color="auto"/>
            </w:tcBorders>
            <w:vAlign w:val="bottom"/>
          </w:tcPr>
          <w:p w14:paraId="61331ACB" w14:textId="56947E20" w:rsidR="006E6247" w:rsidRPr="00907293" w:rsidRDefault="006E6247" w:rsidP="006E6247">
            <w:pPr>
              <w:spacing w:after="40" w:line="240" w:lineRule="auto"/>
              <w:rPr>
                <w:szCs w:val="20"/>
              </w:rPr>
            </w:pPr>
          </w:p>
        </w:tc>
      </w:tr>
    </w:tbl>
    <w:p w14:paraId="5AD49FD9" w14:textId="77777777" w:rsidR="006E6247" w:rsidRDefault="006E6247" w:rsidP="006E6247">
      <w:pPr>
        <w:spacing w:before="360" w:after="240" w:line="240" w:lineRule="auto"/>
        <w:rPr>
          <w:szCs w:val="20"/>
        </w:rPr>
      </w:pPr>
      <w:r w:rsidRPr="002264EA">
        <w:rPr>
          <w:szCs w:val="20"/>
        </w:rPr>
        <w:t>I/We the undersigned certify that:</w:t>
      </w:r>
    </w:p>
    <w:p w14:paraId="2A052E69" w14:textId="77777777" w:rsidR="006E6247" w:rsidRDefault="006E6247" w:rsidP="006E6247">
      <w:pPr>
        <w:tabs>
          <w:tab w:val="left" w:pos="720"/>
          <w:tab w:val="left" w:pos="990"/>
        </w:tabs>
        <w:spacing w:after="240" w:line="240" w:lineRule="auto"/>
        <w:ind w:left="990" w:hanging="990"/>
        <w:rPr>
          <w:szCs w:val="20"/>
        </w:rPr>
      </w:pPr>
      <w:r w:rsidRPr="002264EA">
        <w:rPr>
          <w:szCs w:val="20"/>
          <w:u w:val="single"/>
        </w:rPr>
        <w:tab/>
      </w:r>
      <w:r>
        <w:rPr>
          <w:szCs w:val="20"/>
        </w:rPr>
        <w:tab/>
      </w:r>
      <w:r w:rsidRPr="002264EA">
        <w:rPr>
          <w:b/>
          <w:bCs/>
          <w:szCs w:val="20"/>
          <w:u w:val="single"/>
        </w:rPr>
        <w:t>Primary Residence</w:t>
      </w:r>
      <w:r w:rsidRPr="002264EA">
        <w:rPr>
          <w:szCs w:val="20"/>
        </w:rPr>
        <w:t xml:space="preserve"> – I/we will occupy the Property as my/our principal residence within Sixty (60) days after the date of closing as stated in the Mortgage or Deed of Trust I/we executed. I/we will continue to occupy the Property as my/our principal residence for at least one year after the date of occupancy unless Seller otherwise agrees in writing.</w:t>
      </w:r>
    </w:p>
    <w:p w14:paraId="23D24AA3" w14:textId="77777777" w:rsidR="006E6247" w:rsidRDefault="006E6247" w:rsidP="006E6247">
      <w:pPr>
        <w:tabs>
          <w:tab w:val="left" w:pos="720"/>
          <w:tab w:val="left" w:pos="990"/>
        </w:tabs>
        <w:spacing w:after="240" w:line="240" w:lineRule="auto"/>
        <w:ind w:left="990" w:hanging="990"/>
        <w:rPr>
          <w:szCs w:val="20"/>
        </w:rPr>
      </w:pPr>
      <w:r w:rsidRPr="002264EA">
        <w:rPr>
          <w:szCs w:val="20"/>
          <w:u w:val="single"/>
        </w:rPr>
        <w:tab/>
      </w:r>
      <w:r w:rsidRPr="002264EA">
        <w:rPr>
          <w:szCs w:val="20"/>
        </w:rPr>
        <w:tab/>
      </w:r>
      <w:r w:rsidRPr="002264EA">
        <w:rPr>
          <w:b/>
          <w:bCs/>
          <w:szCs w:val="20"/>
          <w:u w:val="single"/>
        </w:rPr>
        <w:t>Second Home</w:t>
      </w:r>
      <w:r w:rsidRPr="002264EA">
        <w:rPr>
          <w:szCs w:val="20"/>
        </w:rPr>
        <w:t xml:space="preserve"> – I/we will occupy the Property as a second home (vacation, etc.) while maintaining a principal residence elsewhere.</w:t>
      </w:r>
    </w:p>
    <w:p w14:paraId="5586168C" w14:textId="77777777" w:rsidR="006E6247" w:rsidRPr="002264EA" w:rsidRDefault="006E6247" w:rsidP="006E6247">
      <w:pPr>
        <w:tabs>
          <w:tab w:val="left" w:pos="720"/>
          <w:tab w:val="left" w:pos="990"/>
        </w:tabs>
        <w:spacing w:after="240" w:line="240" w:lineRule="auto"/>
        <w:ind w:left="990" w:hanging="990"/>
        <w:rPr>
          <w:szCs w:val="20"/>
        </w:rPr>
      </w:pPr>
      <w:r w:rsidRPr="002264EA">
        <w:rPr>
          <w:szCs w:val="20"/>
          <w:u w:val="single"/>
        </w:rPr>
        <w:tab/>
      </w:r>
      <w:r w:rsidRPr="002264EA">
        <w:rPr>
          <w:b/>
          <w:bCs/>
          <w:szCs w:val="20"/>
        </w:rPr>
        <w:tab/>
      </w:r>
      <w:r w:rsidRPr="002264EA">
        <w:rPr>
          <w:b/>
          <w:bCs/>
          <w:szCs w:val="20"/>
          <w:u w:val="single"/>
        </w:rPr>
        <w:t>Investment Property</w:t>
      </w:r>
      <w:r w:rsidRPr="002264EA">
        <w:rPr>
          <w:szCs w:val="20"/>
        </w:rPr>
        <w:t xml:space="preserve"> – I/we will not occupy the Property as a principal resident or second home. I/we will not occupy the Property for more than 14 days in any calendar year. The Property is an investment to be held or rented rather than for household or personal use.</w:t>
      </w:r>
    </w:p>
    <w:p w14:paraId="141BCFB4" w14:textId="77777777" w:rsidR="006E6247" w:rsidRDefault="006E6247" w:rsidP="006E6247">
      <w:pPr>
        <w:spacing w:after="240" w:line="240" w:lineRule="auto"/>
        <w:rPr>
          <w:szCs w:val="20"/>
        </w:rPr>
      </w:pPr>
      <w:r w:rsidRPr="00A55C23">
        <w:rPr>
          <w:b/>
          <w:bCs/>
          <w:smallCaps/>
          <w:color w:val="083B92" w:themeColor="accent2"/>
          <w:szCs w:val="20"/>
        </w:rPr>
        <w:t>Investment Property Only</w:t>
      </w:r>
      <w:r w:rsidRPr="00A55C23">
        <w:rPr>
          <w:szCs w:val="20"/>
        </w:rPr>
        <w:t xml:space="preserve"> (the following </w:t>
      </w:r>
      <w:r w:rsidRPr="00A55C23">
        <w:rPr>
          <w:b/>
          <w:bCs/>
          <w:szCs w:val="20"/>
          <w:u w:val="single"/>
        </w:rPr>
        <w:t>must</w:t>
      </w:r>
      <w:r w:rsidRPr="00A55C23">
        <w:rPr>
          <w:szCs w:val="20"/>
        </w:rPr>
        <w:t xml:space="preserve"> be completed on an investment property loan)</w:t>
      </w:r>
    </w:p>
    <w:p w14:paraId="09FBF3E0" w14:textId="77777777" w:rsidR="006E6247" w:rsidRDefault="006E6247" w:rsidP="006E6247">
      <w:pPr>
        <w:tabs>
          <w:tab w:val="left" w:pos="720"/>
          <w:tab w:val="left" w:pos="990"/>
        </w:tabs>
        <w:spacing w:after="240" w:line="240" w:lineRule="auto"/>
        <w:ind w:left="990" w:hanging="990"/>
        <w:rPr>
          <w:szCs w:val="20"/>
        </w:rPr>
      </w:pPr>
      <w:r w:rsidRPr="002264EA">
        <w:rPr>
          <w:szCs w:val="20"/>
          <w:u w:val="single"/>
        </w:rPr>
        <w:tab/>
      </w:r>
      <w:r>
        <w:rPr>
          <w:szCs w:val="20"/>
        </w:rPr>
        <w:tab/>
      </w:r>
      <w:r w:rsidRPr="00A55C23">
        <w:rPr>
          <w:szCs w:val="20"/>
        </w:rPr>
        <w:t xml:space="preserve">I/we understand that consumer protection laws applicable to consumer loans will not apply to this loan, including the Truth in Lending Act (15 U.S.C. § 1601 </w:t>
      </w:r>
      <w:r w:rsidRPr="00A55C23">
        <w:rPr>
          <w:i/>
          <w:iCs/>
          <w:szCs w:val="20"/>
        </w:rPr>
        <w:t>et seq.</w:t>
      </w:r>
      <w:r w:rsidRPr="00A55C23">
        <w:rPr>
          <w:szCs w:val="20"/>
        </w:rPr>
        <w:t xml:space="preserve">), Real Estate Settlement Procedures Act (12 U.S.C.§ 2601 </w:t>
      </w:r>
      <w:r w:rsidRPr="00A55C23">
        <w:rPr>
          <w:i/>
          <w:iCs/>
          <w:szCs w:val="20"/>
        </w:rPr>
        <w:t>et seq.</w:t>
      </w:r>
      <w:r w:rsidRPr="00A55C23">
        <w:rPr>
          <w:szCs w:val="20"/>
        </w:rPr>
        <w:t xml:space="preserve">), Gramm-Leach Bliley Act (15 U.S.C. §§ 6802-6809), Secure and Fair Enforcement Mortgage Licensing Act </w:t>
      </w:r>
      <w:r>
        <w:rPr>
          <w:szCs w:val="20"/>
        </w:rPr>
        <w:br/>
      </w:r>
      <w:r w:rsidRPr="00A55C23">
        <w:rPr>
          <w:szCs w:val="20"/>
        </w:rPr>
        <w:t xml:space="preserve">(12 U.S.C. § 5101 </w:t>
      </w:r>
      <w:r w:rsidRPr="00A55C23">
        <w:rPr>
          <w:i/>
          <w:iCs/>
          <w:szCs w:val="20"/>
        </w:rPr>
        <w:t>et seq.</w:t>
      </w:r>
      <w:r w:rsidRPr="00A55C23">
        <w:rPr>
          <w:szCs w:val="20"/>
        </w:rPr>
        <w:t xml:space="preserve">), and Homeowners Protection Act (12 U.S.C. § 4901 </w:t>
      </w:r>
      <w:r w:rsidRPr="00A55C23">
        <w:rPr>
          <w:i/>
          <w:iCs/>
          <w:szCs w:val="20"/>
        </w:rPr>
        <w:t>et seq.</w:t>
      </w:r>
      <w:r w:rsidRPr="00A55C23">
        <w:rPr>
          <w:szCs w:val="20"/>
        </w:rPr>
        <w:t>).</w:t>
      </w:r>
    </w:p>
    <w:p w14:paraId="21C796CB" w14:textId="77777777" w:rsidR="006E6247" w:rsidRDefault="006E6247" w:rsidP="006E6247">
      <w:pPr>
        <w:spacing w:after="240" w:line="240" w:lineRule="auto"/>
        <w:rPr>
          <w:szCs w:val="20"/>
        </w:rPr>
      </w:pPr>
      <w:r>
        <w:rPr>
          <w:b/>
          <w:bCs/>
          <w:smallCaps/>
          <w:color w:val="083B92" w:themeColor="accent2"/>
          <w:szCs w:val="20"/>
        </w:rPr>
        <w:t>Refinance</w:t>
      </w:r>
      <w:r w:rsidRPr="00A55C23">
        <w:rPr>
          <w:b/>
          <w:bCs/>
          <w:smallCaps/>
          <w:color w:val="083B92" w:themeColor="accent2"/>
          <w:szCs w:val="20"/>
        </w:rPr>
        <w:t xml:space="preserve"> Only</w:t>
      </w:r>
      <w:r w:rsidRPr="00A55C23">
        <w:rPr>
          <w:szCs w:val="20"/>
        </w:rPr>
        <w:t xml:space="preserve"> (the following </w:t>
      </w:r>
      <w:r w:rsidRPr="00A55C23">
        <w:rPr>
          <w:b/>
          <w:bCs/>
          <w:szCs w:val="20"/>
          <w:u w:val="single"/>
        </w:rPr>
        <w:t>must</w:t>
      </w:r>
      <w:r w:rsidRPr="00A55C23">
        <w:rPr>
          <w:szCs w:val="20"/>
        </w:rPr>
        <w:t xml:space="preserve"> be completed on </w:t>
      </w:r>
      <w:r w:rsidRPr="00573B93">
        <w:rPr>
          <w:szCs w:val="20"/>
        </w:rPr>
        <w:t>a refinance transaction</w:t>
      </w:r>
      <w:r w:rsidRPr="00A55C23">
        <w:rPr>
          <w:szCs w:val="20"/>
        </w:rPr>
        <w:t>)</w:t>
      </w:r>
    </w:p>
    <w:p w14:paraId="00F0A8FD" w14:textId="77777777" w:rsidR="006E6247" w:rsidRDefault="006E6247" w:rsidP="006E6247">
      <w:pPr>
        <w:tabs>
          <w:tab w:val="left" w:pos="720"/>
          <w:tab w:val="left" w:pos="990"/>
        </w:tabs>
        <w:spacing w:after="240" w:line="240" w:lineRule="auto"/>
        <w:ind w:left="990" w:hanging="990"/>
        <w:rPr>
          <w:szCs w:val="20"/>
        </w:rPr>
      </w:pPr>
      <w:r w:rsidRPr="002264EA">
        <w:rPr>
          <w:szCs w:val="20"/>
          <w:u w:val="single"/>
        </w:rPr>
        <w:tab/>
      </w:r>
      <w:r>
        <w:rPr>
          <w:szCs w:val="20"/>
        </w:rPr>
        <w:tab/>
      </w:r>
      <w:r w:rsidRPr="00573B93">
        <w:rPr>
          <w:szCs w:val="20"/>
        </w:rPr>
        <w:t xml:space="preserve">I/We the undersigned, certify that the property referenced above is </w:t>
      </w:r>
      <w:r w:rsidRPr="00573B93">
        <w:rPr>
          <w:b/>
          <w:bCs/>
          <w:szCs w:val="20"/>
        </w:rPr>
        <w:t>NOT</w:t>
      </w:r>
      <w:r w:rsidRPr="00573B93">
        <w:rPr>
          <w:szCs w:val="20"/>
        </w:rPr>
        <w:t xml:space="preserve"> currently listed for sale or under contract to be listed for sale.</w:t>
      </w:r>
    </w:p>
    <w:p w14:paraId="2B8FB114" w14:textId="77777777" w:rsidR="006E6247" w:rsidRPr="00573B93" w:rsidRDefault="006E6247" w:rsidP="006E6247">
      <w:pPr>
        <w:spacing w:after="240" w:line="240" w:lineRule="auto"/>
        <w:rPr>
          <w:szCs w:val="20"/>
          <w:u w:val="single"/>
        </w:rPr>
      </w:pPr>
      <w:r w:rsidRPr="00573B93">
        <w:rPr>
          <w:szCs w:val="20"/>
          <w:u w:val="single"/>
        </w:rPr>
        <w:t>I/We understand that it is illegal to provide false information in an application for a mortgage loan. Mortgage fraud is punishable by up to thirty (30) years in federal prison or a fine of up to $1,000,000, or both under the provisions of Title 18, United States Code, Sec. 1001, et seq.</w:t>
      </w:r>
    </w:p>
    <w:p w14:paraId="42890477" w14:textId="77777777" w:rsidR="006E6247" w:rsidRPr="0017462A" w:rsidRDefault="006E6247" w:rsidP="006E6247">
      <w:pPr>
        <w:spacing w:after="240" w:line="240" w:lineRule="auto"/>
        <w:rPr>
          <w:szCs w:val="20"/>
        </w:rPr>
      </w:pPr>
      <w:r w:rsidRPr="00573B93">
        <w:rPr>
          <w:szCs w:val="20"/>
        </w:rPr>
        <w:t xml:space="preserve">I/We understand that failure to comply with the requirements in the Mortgage or Deed of Trust regarding occupancy of the property will entitle the Seller to exercise its remedies for breach of covenant under the Mortgage or Deed of Trust. Such remedies include, without limitation, requiring immediate payment in full of the remaining indebtedness under the Loan together with all other sums secured by the </w:t>
      </w:r>
      <w:r w:rsidRPr="00B803B8">
        <w:rPr>
          <w:b/>
          <w:bCs/>
          <w:szCs w:val="20"/>
        </w:rPr>
        <w:t>Mortgage</w:t>
      </w:r>
      <w:r w:rsidRPr="00573B93">
        <w:rPr>
          <w:szCs w:val="20"/>
        </w:rPr>
        <w:t xml:space="preserve"> or </w:t>
      </w:r>
      <w:r w:rsidRPr="00B803B8">
        <w:rPr>
          <w:b/>
          <w:bCs/>
          <w:szCs w:val="20"/>
        </w:rPr>
        <w:t>Deed of Trust</w:t>
      </w:r>
      <w:r w:rsidRPr="00573B93">
        <w:rPr>
          <w:szCs w:val="20"/>
        </w:rPr>
        <w:t>, and exercise of power of sale or other applicable foreclosure remedies, to the extent permitted by the Mortgage or Deed of Trust.</w:t>
      </w:r>
    </w:p>
    <w:p w14:paraId="1D7D110D" w14:textId="3833EBDE" w:rsidR="006E6247" w:rsidRDefault="006E6247" w:rsidP="006E6247">
      <w:pPr>
        <w:rPr>
          <w:szCs w:val="20"/>
        </w:rPr>
      </w:pPr>
    </w:p>
    <w:p w14:paraId="3AEC709A" w14:textId="77777777" w:rsidR="006E6247" w:rsidRPr="00907293" w:rsidRDefault="006E6247" w:rsidP="006E6247">
      <w:pPr>
        <w:rPr>
          <w:szCs w:val="20"/>
        </w:rPr>
      </w:pPr>
    </w:p>
    <w:tbl>
      <w:tblPr>
        <w:tblW w:w="5000" w:type="pct"/>
        <w:tblCellMar>
          <w:left w:w="0" w:type="dxa"/>
          <w:right w:w="0" w:type="dxa"/>
        </w:tblCellMar>
        <w:tblLook w:val="01E0" w:firstRow="1" w:lastRow="1" w:firstColumn="1" w:lastColumn="1" w:noHBand="0" w:noVBand="0"/>
      </w:tblPr>
      <w:tblGrid>
        <w:gridCol w:w="2094"/>
        <w:gridCol w:w="2996"/>
        <w:gridCol w:w="332"/>
        <w:gridCol w:w="2094"/>
        <w:gridCol w:w="2996"/>
      </w:tblGrid>
      <w:tr w:rsidR="006E6247" w:rsidRPr="00B803B8" w14:paraId="4D18B14F" w14:textId="77777777" w:rsidTr="00A26374">
        <w:trPr>
          <w:trHeight w:val="726"/>
        </w:trPr>
        <w:tc>
          <w:tcPr>
            <w:tcW w:w="996" w:type="pct"/>
            <w:tcBorders>
              <w:top w:val="single" w:sz="4" w:space="0" w:color="000000"/>
              <w:bottom w:val="single" w:sz="4" w:space="0" w:color="000000"/>
            </w:tcBorders>
          </w:tcPr>
          <w:p w14:paraId="6203EA59" w14:textId="77777777" w:rsidR="006E6247" w:rsidRPr="00B803B8" w:rsidRDefault="006E6247" w:rsidP="00A26374">
            <w:pPr>
              <w:pStyle w:val="TableParagraph"/>
              <w:rPr>
                <w:rFonts w:ascii="Times New Roman" w:hAnsi="Times New Roman" w:cs="Times New Roman"/>
                <w:sz w:val="20"/>
              </w:rPr>
            </w:pPr>
            <w:r w:rsidRPr="00B803B8">
              <w:rPr>
                <w:rFonts w:ascii="Times New Roman" w:hAnsi="Times New Roman" w:cs="Times New Roman"/>
                <w:sz w:val="20"/>
              </w:rPr>
              <w:t>Borrower</w:t>
            </w:r>
          </w:p>
        </w:tc>
        <w:tc>
          <w:tcPr>
            <w:tcW w:w="1425" w:type="pct"/>
            <w:tcBorders>
              <w:top w:val="single" w:sz="4" w:space="0" w:color="000000"/>
              <w:bottom w:val="single" w:sz="4" w:space="0" w:color="000000"/>
            </w:tcBorders>
          </w:tcPr>
          <w:p w14:paraId="4B42553D" w14:textId="77777777" w:rsidR="006E6247" w:rsidRPr="00B803B8" w:rsidRDefault="006E6247" w:rsidP="00A26374">
            <w:pPr>
              <w:pStyle w:val="TableParagraph"/>
              <w:ind w:left="1072"/>
              <w:rPr>
                <w:rFonts w:ascii="Times New Roman" w:hAnsi="Times New Roman" w:cs="Times New Roman"/>
                <w:sz w:val="20"/>
              </w:rPr>
            </w:pPr>
            <w:r w:rsidRPr="00B803B8">
              <w:rPr>
                <w:rFonts w:ascii="Times New Roman" w:hAnsi="Times New Roman" w:cs="Times New Roman"/>
                <w:sz w:val="20"/>
              </w:rPr>
              <w:t>Date</w:t>
            </w:r>
          </w:p>
        </w:tc>
        <w:tc>
          <w:tcPr>
            <w:tcW w:w="158" w:type="pct"/>
          </w:tcPr>
          <w:p w14:paraId="4ACCD722" w14:textId="77777777" w:rsidR="006E6247" w:rsidRPr="00B803B8" w:rsidRDefault="006E6247" w:rsidP="00A26374">
            <w:pPr>
              <w:pStyle w:val="TableParagraph"/>
              <w:rPr>
                <w:rFonts w:ascii="Times New Roman" w:hAnsi="Times New Roman" w:cs="Times New Roman"/>
                <w:sz w:val="18"/>
              </w:rPr>
            </w:pPr>
          </w:p>
        </w:tc>
        <w:tc>
          <w:tcPr>
            <w:tcW w:w="996" w:type="pct"/>
            <w:tcBorders>
              <w:top w:val="single" w:sz="4" w:space="0" w:color="000000"/>
              <w:bottom w:val="single" w:sz="4" w:space="0" w:color="000000"/>
            </w:tcBorders>
          </w:tcPr>
          <w:p w14:paraId="2F660241" w14:textId="77777777" w:rsidR="006E6247" w:rsidRPr="00B803B8" w:rsidRDefault="006E6247" w:rsidP="00A26374">
            <w:pPr>
              <w:pStyle w:val="TableParagraph"/>
              <w:ind w:left="-1"/>
              <w:rPr>
                <w:rFonts w:ascii="Times New Roman" w:hAnsi="Times New Roman" w:cs="Times New Roman"/>
                <w:sz w:val="20"/>
              </w:rPr>
            </w:pPr>
            <w:r w:rsidRPr="00B803B8">
              <w:rPr>
                <w:rFonts w:ascii="Times New Roman" w:hAnsi="Times New Roman" w:cs="Times New Roman"/>
                <w:sz w:val="20"/>
              </w:rPr>
              <w:t>Co-Borrower</w:t>
            </w:r>
          </w:p>
        </w:tc>
        <w:tc>
          <w:tcPr>
            <w:tcW w:w="1426" w:type="pct"/>
            <w:tcBorders>
              <w:top w:val="single" w:sz="4" w:space="0" w:color="000000"/>
              <w:bottom w:val="single" w:sz="4" w:space="0" w:color="000000"/>
            </w:tcBorders>
          </w:tcPr>
          <w:p w14:paraId="7771355A" w14:textId="77777777" w:rsidR="006E6247" w:rsidRPr="00B803B8" w:rsidRDefault="006E6247" w:rsidP="00A26374">
            <w:pPr>
              <w:pStyle w:val="TableParagraph"/>
              <w:ind w:left="1052" w:right="1109"/>
              <w:jc w:val="center"/>
              <w:rPr>
                <w:rFonts w:ascii="Times New Roman" w:hAnsi="Times New Roman" w:cs="Times New Roman"/>
                <w:sz w:val="20"/>
              </w:rPr>
            </w:pPr>
            <w:r w:rsidRPr="00B803B8">
              <w:rPr>
                <w:rFonts w:ascii="Times New Roman" w:hAnsi="Times New Roman" w:cs="Times New Roman"/>
                <w:sz w:val="20"/>
              </w:rPr>
              <w:t>Date</w:t>
            </w:r>
          </w:p>
        </w:tc>
      </w:tr>
      <w:tr w:rsidR="006E6247" w:rsidRPr="00B803B8" w14:paraId="2F15068E" w14:textId="77777777" w:rsidTr="00A26374">
        <w:trPr>
          <w:trHeight w:val="355"/>
        </w:trPr>
        <w:tc>
          <w:tcPr>
            <w:tcW w:w="996" w:type="pct"/>
            <w:tcBorders>
              <w:top w:val="single" w:sz="4" w:space="0" w:color="000000"/>
            </w:tcBorders>
          </w:tcPr>
          <w:p w14:paraId="47570807" w14:textId="77777777" w:rsidR="006E6247" w:rsidRPr="00B803B8" w:rsidRDefault="006E6247" w:rsidP="00A26374">
            <w:pPr>
              <w:pStyle w:val="TableParagraph"/>
              <w:spacing w:line="198" w:lineRule="exact"/>
              <w:rPr>
                <w:rFonts w:ascii="Times New Roman" w:hAnsi="Times New Roman" w:cs="Times New Roman"/>
                <w:sz w:val="20"/>
              </w:rPr>
            </w:pPr>
            <w:r w:rsidRPr="00B803B8">
              <w:rPr>
                <w:rFonts w:ascii="Times New Roman" w:hAnsi="Times New Roman" w:cs="Times New Roman"/>
                <w:sz w:val="20"/>
              </w:rPr>
              <w:t>Co-Borrower</w:t>
            </w:r>
          </w:p>
        </w:tc>
        <w:tc>
          <w:tcPr>
            <w:tcW w:w="1425" w:type="pct"/>
            <w:tcBorders>
              <w:top w:val="single" w:sz="4" w:space="0" w:color="000000"/>
            </w:tcBorders>
          </w:tcPr>
          <w:p w14:paraId="70DBD6B2" w14:textId="77777777" w:rsidR="006E6247" w:rsidRPr="00B803B8" w:rsidRDefault="006E6247" w:rsidP="00A26374">
            <w:pPr>
              <w:pStyle w:val="TableParagraph"/>
              <w:spacing w:line="198" w:lineRule="exact"/>
              <w:ind w:left="1072"/>
              <w:rPr>
                <w:rFonts w:ascii="Times New Roman" w:hAnsi="Times New Roman" w:cs="Times New Roman"/>
                <w:sz w:val="20"/>
              </w:rPr>
            </w:pPr>
            <w:r w:rsidRPr="00B803B8">
              <w:rPr>
                <w:rFonts w:ascii="Times New Roman" w:hAnsi="Times New Roman" w:cs="Times New Roman"/>
                <w:sz w:val="20"/>
              </w:rPr>
              <w:t>Date</w:t>
            </w:r>
          </w:p>
        </w:tc>
        <w:tc>
          <w:tcPr>
            <w:tcW w:w="158" w:type="pct"/>
          </w:tcPr>
          <w:p w14:paraId="3CC868EB" w14:textId="77777777" w:rsidR="006E6247" w:rsidRPr="00B803B8" w:rsidRDefault="006E6247" w:rsidP="00A26374">
            <w:pPr>
              <w:pStyle w:val="TableParagraph"/>
              <w:rPr>
                <w:rFonts w:ascii="Times New Roman" w:hAnsi="Times New Roman" w:cs="Times New Roman"/>
                <w:sz w:val="18"/>
              </w:rPr>
            </w:pPr>
          </w:p>
        </w:tc>
        <w:tc>
          <w:tcPr>
            <w:tcW w:w="996" w:type="pct"/>
            <w:tcBorders>
              <w:top w:val="single" w:sz="4" w:space="0" w:color="000000"/>
            </w:tcBorders>
          </w:tcPr>
          <w:p w14:paraId="6F6DDBC1" w14:textId="77777777" w:rsidR="006E6247" w:rsidRPr="00B803B8" w:rsidRDefault="006E6247" w:rsidP="00A26374">
            <w:pPr>
              <w:pStyle w:val="TableParagraph"/>
              <w:spacing w:line="198" w:lineRule="exact"/>
              <w:ind w:left="-1"/>
              <w:rPr>
                <w:rFonts w:ascii="Times New Roman" w:hAnsi="Times New Roman" w:cs="Times New Roman"/>
                <w:sz w:val="20"/>
              </w:rPr>
            </w:pPr>
            <w:r w:rsidRPr="00B803B8">
              <w:rPr>
                <w:rFonts w:ascii="Times New Roman" w:hAnsi="Times New Roman" w:cs="Times New Roman"/>
                <w:sz w:val="20"/>
              </w:rPr>
              <w:t>Co-Borrower</w:t>
            </w:r>
          </w:p>
        </w:tc>
        <w:tc>
          <w:tcPr>
            <w:tcW w:w="1426" w:type="pct"/>
            <w:tcBorders>
              <w:top w:val="single" w:sz="4" w:space="0" w:color="000000"/>
            </w:tcBorders>
          </w:tcPr>
          <w:p w14:paraId="649479E4" w14:textId="77777777" w:rsidR="006E6247" w:rsidRPr="00B803B8" w:rsidRDefault="006E6247" w:rsidP="00A26374">
            <w:pPr>
              <w:pStyle w:val="TableParagraph"/>
              <w:spacing w:line="198" w:lineRule="exact"/>
              <w:ind w:left="1052" w:right="1109"/>
              <w:jc w:val="center"/>
              <w:rPr>
                <w:rFonts w:ascii="Times New Roman" w:hAnsi="Times New Roman" w:cs="Times New Roman"/>
                <w:sz w:val="20"/>
              </w:rPr>
            </w:pPr>
            <w:r w:rsidRPr="00B803B8">
              <w:rPr>
                <w:rFonts w:ascii="Times New Roman" w:hAnsi="Times New Roman" w:cs="Times New Roman"/>
                <w:sz w:val="20"/>
              </w:rPr>
              <w:t>Date</w:t>
            </w:r>
          </w:p>
        </w:tc>
      </w:tr>
    </w:tbl>
    <w:p w14:paraId="14E498CA" w14:textId="20C630A3" w:rsidR="006E6247" w:rsidRDefault="006E6247" w:rsidP="006E6247"/>
    <w:sectPr w:rsidR="006E6247" w:rsidSect="009559C9">
      <w:headerReference w:type="default" r:id="rId8"/>
      <w:footerReference w:type="default" r:id="rId9"/>
      <w:headerReference w:type="first" r:id="rId10"/>
      <w:pgSz w:w="12240" w:h="15840" w:code="1"/>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76DD" w14:textId="77777777" w:rsidR="00B3151B" w:rsidRDefault="00B3151B" w:rsidP="00A44942">
      <w:pPr>
        <w:spacing w:after="0" w:line="240" w:lineRule="auto"/>
      </w:pPr>
      <w:r>
        <w:separator/>
      </w:r>
    </w:p>
  </w:endnote>
  <w:endnote w:type="continuationSeparator" w:id="0">
    <w:p w14:paraId="09ADB35B" w14:textId="77777777" w:rsidR="00B3151B" w:rsidRDefault="00B3151B" w:rsidP="00A4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Expert Sans Light">
    <w:altName w:val="Courier New"/>
    <w:panose1 w:val="00000000000000000000"/>
    <w:charset w:val="00"/>
    <w:family w:val="auto"/>
    <w:notTrueType/>
    <w:pitch w:val="variable"/>
    <w:sig w:usb0="00000083" w:usb1="00000000" w:usb2="00000000" w:usb3="00000000" w:csb0="00000009" w:csb1="00000000"/>
  </w:font>
  <w:font w:name="Expert Sans Regular">
    <w:altName w:val="Microsoft YaHei"/>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BAA" w14:textId="1C38E9AE" w:rsidR="0091597B" w:rsidRDefault="0091597B" w:rsidP="00C917E1">
    <w:pPr>
      <w:pStyle w:val="Header"/>
      <w:pBdr>
        <w:top w:val="single" w:sz="4" w:space="1" w:color="00316C"/>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08E0" w14:textId="77777777" w:rsidR="00B3151B" w:rsidRDefault="00B3151B" w:rsidP="00A44942">
      <w:pPr>
        <w:spacing w:after="0" w:line="240" w:lineRule="auto"/>
      </w:pPr>
      <w:r>
        <w:separator/>
      </w:r>
    </w:p>
  </w:footnote>
  <w:footnote w:type="continuationSeparator" w:id="0">
    <w:p w14:paraId="3D73C4AD" w14:textId="77777777" w:rsidR="00B3151B" w:rsidRDefault="00B3151B" w:rsidP="00A4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477" w14:textId="0128598C" w:rsidR="009559C9" w:rsidRDefault="009559C9">
    <w:pPr>
      <w:pStyle w:val="Header"/>
    </w:pPr>
    <w:r>
      <w:rPr>
        <w:noProof/>
      </w:rPr>
      <w:drawing>
        <wp:inline distT="0" distB="0" distL="0" distR="0" wp14:anchorId="7CE212CC" wp14:editId="07F8058A">
          <wp:extent cx="2038350" cy="510540"/>
          <wp:effectExtent l="0" t="0" r="0" b="3810"/>
          <wp:docPr id="3" name="Picture 2">
            <a:extLst xmlns:a="http://schemas.openxmlformats.org/drawingml/2006/main">
              <a:ext uri="{FF2B5EF4-FFF2-40B4-BE49-F238E27FC236}">
                <a16:creationId xmlns:a16="http://schemas.microsoft.com/office/drawing/2014/main" id="{7C151559-DFCF-4885-AD88-6F84DFE45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C151559-DFCF-4885-AD88-6F84DFE451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510540"/>
                  </a:xfrm>
                  <a:prstGeom prst="rect">
                    <a:avLst/>
                  </a:prstGeom>
                </pic:spPr>
              </pic:pic>
            </a:graphicData>
          </a:graphic>
        </wp:inline>
      </w:drawing>
    </w:r>
  </w:p>
  <w:p w14:paraId="2C90E614" w14:textId="1A2E694E" w:rsidR="00910975" w:rsidRDefault="00910975" w:rsidP="00C917E1">
    <w:pPr>
      <w:pStyle w:val="Header"/>
      <w:pBdr>
        <w:bottom w:val="single" w:sz="8" w:space="8" w:color="00316C"/>
      </w:pBd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AFF7" w14:textId="0DA9E1A5" w:rsidR="009559C9" w:rsidRDefault="009559C9">
    <w:pPr>
      <w:pStyle w:val="Header"/>
    </w:pPr>
    <w:r>
      <w:rPr>
        <w:noProof/>
      </w:rPr>
      <w:drawing>
        <wp:inline distT="0" distB="0" distL="0" distR="0" wp14:anchorId="49423743" wp14:editId="0C4EE861">
          <wp:extent cx="2038350" cy="510540"/>
          <wp:effectExtent l="0" t="0" r="0" b="3810"/>
          <wp:docPr id="1" name="Picture 2">
            <a:extLst xmlns:a="http://schemas.openxmlformats.org/drawingml/2006/main">
              <a:ext uri="{FF2B5EF4-FFF2-40B4-BE49-F238E27FC236}">
                <a16:creationId xmlns:a16="http://schemas.microsoft.com/office/drawing/2014/main" id="{7C151559-DFCF-4885-AD88-6F84DFE45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C151559-DFCF-4885-AD88-6F84DFE451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510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4C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7E43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FA04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2A30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007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0D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0D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4E6BB0"/>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2976E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568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A3A"/>
    <w:multiLevelType w:val="hybridMultilevel"/>
    <w:tmpl w:val="CEF071EE"/>
    <w:lvl w:ilvl="0" w:tplc="56D251FC">
      <w:start w:val="1"/>
      <w:numFmt w:val="bullet"/>
      <w:pStyle w:val="ListBullet2"/>
      <w:lvlText w:val="–"/>
      <w:lvlJc w:val="left"/>
      <w:pPr>
        <w:ind w:left="720" w:hanging="360"/>
      </w:pPr>
      <w:rPr>
        <w:rFonts w:ascii="Arial" w:hAnsi="Arial" w:hint="default"/>
        <w:color w:val="376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1466E"/>
    <w:multiLevelType w:val="hybridMultilevel"/>
    <w:tmpl w:val="511283CC"/>
    <w:lvl w:ilvl="0" w:tplc="B11E7BF8">
      <w:start w:val="1"/>
      <w:numFmt w:val="bullet"/>
      <w:pStyle w:val="Bullet2"/>
      <w:lvlText w:val="–"/>
      <w:lvlJc w:val="left"/>
      <w:pPr>
        <w:ind w:left="720" w:hanging="360"/>
      </w:pPr>
      <w:rPr>
        <w:rFonts w:ascii="Arial" w:hAnsi="Arial" w:hint="default"/>
        <w:color w:val="083B9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967B7"/>
    <w:multiLevelType w:val="multilevel"/>
    <w:tmpl w:val="D1BE1458"/>
    <w:styleLink w:val="Style1"/>
    <w:lvl w:ilvl="0">
      <w:start w:val="1"/>
      <w:numFmt w:val="decimal"/>
      <w:lvlText w:val="%1."/>
      <w:lvlJc w:val="left"/>
      <w:pPr>
        <w:ind w:left="720" w:hanging="720"/>
      </w:pPr>
      <w:rPr>
        <w:rFonts w:ascii="Book Antiqua" w:hAnsi="Book Antiqua" w:hint="default"/>
        <w:b/>
        <w:i w:val="0"/>
        <w:caps/>
        <w:strike w:val="0"/>
        <w:dstrike w:val="0"/>
        <w:vanish w:val="0"/>
        <w:color w:val="031F48" w:themeColor="accent1"/>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Bold" w:hAnsi="Times New Roman Bold" w:hint="default"/>
        <w:b/>
        <w:i w:val="0"/>
        <w:caps w:val="0"/>
        <w:strike w:val="0"/>
        <w:dstrike w:val="0"/>
        <w:vanish w:val="0"/>
        <w:color w:val="3E91F8" w:themeColor="accent3"/>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ascii="Times New Roman" w:hAnsi="Times New Roman"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B770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3A4BFF"/>
    <w:multiLevelType w:val="hybridMultilevel"/>
    <w:tmpl w:val="4C085760"/>
    <w:lvl w:ilvl="0" w:tplc="59E2A02A">
      <w:start w:val="1"/>
      <w:numFmt w:val="bullet"/>
      <w:pStyle w:val="Bullet1"/>
      <w:lvlText w:val=""/>
      <w:lvlJc w:val="left"/>
      <w:pPr>
        <w:ind w:left="360" w:hanging="360"/>
      </w:pPr>
      <w:rPr>
        <w:rFonts w:ascii="Wingdings 2" w:hAnsi="Wingdings 2" w:hint="default"/>
        <w:color w:val="083B92"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F12374"/>
    <w:multiLevelType w:val="multilevel"/>
    <w:tmpl w:val="412220C6"/>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2A743A5"/>
    <w:multiLevelType w:val="multilevel"/>
    <w:tmpl w:val="D1BE1458"/>
    <w:numStyleLink w:val="Style1"/>
  </w:abstractNum>
  <w:abstractNum w:abstractNumId="17" w15:restartNumberingAfterBreak="0">
    <w:nsid w:val="1902290B"/>
    <w:multiLevelType w:val="multilevel"/>
    <w:tmpl w:val="9FA88242"/>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C6859ED"/>
    <w:multiLevelType w:val="hybridMultilevel"/>
    <w:tmpl w:val="9336F428"/>
    <w:lvl w:ilvl="0" w:tplc="2A42749A">
      <w:start w:val="1"/>
      <w:numFmt w:val="bullet"/>
      <w:pStyle w:val="ListBullet"/>
      <w:lvlText w:val=""/>
      <w:lvlJc w:val="left"/>
      <w:pPr>
        <w:ind w:left="360" w:hanging="360"/>
      </w:pPr>
      <w:rPr>
        <w:rFonts w:ascii="Wingdings 2" w:hAnsi="Wingdings 2" w:hint="default"/>
        <w:color w:val="37609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AE1502"/>
    <w:multiLevelType w:val="multilevel"/>
    <w:tmpl w:val="D1BE1458"/>
    <w:numStyleLink w:val="Style1"/>
  </w:abstractNum>
  <w:abstractNum w:abstractNumId="20" w15:restartNumberingAfterBreak="0">
    <w:nsid w:val="64236DFF"/>
    <w:multiLevelType w:val="multilevel"/>
    <w:tmpl w:val="D1BE1458"/>
    <w:numStyleLink w:val="Style1"/>
  </w:abstractNum>
  <w:abstractNum w:abstractNumId="21" w15:restartNumberingAfterBreak="0">
    <w:nsid w:val="73025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A62234"/>
    <w:multiLevelType w:val="multilevel"/>
    <w:tmpl w:val="D1BE1458"/>
    <w:numStyleLink w:val="Style1"/>
  </w:abstractNum>
  <w:abstractNum w:abstractNumId="23" w15:restartNumberingAfterBreak="0">
    <w:nsid w:val="785F247C"/>
    <w:multiLevelType w:val="multilevel"/>
    <w:tmpl w:val="D1BE1458"/>
    <w:numStyleLink w:val="Style1"/>
  </w:abstractNum>
  <w:num w:numId="1" w16cid:durableId="61757513">
    <w:abstractNumId w:val="9"/>
  </w:num>
  <w:num w:numId="2" w16cid:durableId="445123108">
    <w:abstractNumId w:val="7"/>
  </w:num>
  <w:num w:numId="3" w16cid:durableId="1803813740">
    <w:abstractNumId w:val="6"/>
  </w:num>
  <w:num w:numId="4" w16cid:durableId="431171735">
    <w:abstractNumId w:val="5"/>
  </w:num>
  <w:num w:numId="5" w16cid:durableId="1215003597">
    <w:abstractNumId w:val="4"/>
  </w:num>
  <w:num w:numId="6" w16cid:durableId="388725257">
    <w:abstractNumId w:val="8"/>
  </w:num>
  <w:num w:numId="7" w16cid:durableId="434402777">
    <w:abstractNumId w:val="3"/>
  </w:num>
  <w:num w:numId="8" w16cid:durableId="255066319">
    <w:abstractNumId w:val="2"/>
  </w:num>
  <w:num w:numId="9" w16cid:durableId="963460158">
    <w:abstractNumId w:val="1"/>
  </w:num>
  <w:num w:numId="10" w16cid:durableId="1857764646">
    <w:abstractNumId w:val="0"/>
  </w:num>
  <w:num w:numId="11" w16cid:durableId="1758597099">
    <w:abstractNumId w:val="13"/>
  </w:num>
  <w:num w:numId="12" w16cid:durableId="691103317">
    <w:abstractNumId w:val="21"/>
  </w:num>
  <w:num w:numId="13" w16cid:durableId="251545470">
    <w:abstractNumId w:val="15"/>
  </w:num>
  <w:num w:numId="14" w16cid:durableId="1934699555">
    <w:abstractNumId w:val="18"/>
  </w:num>
  <w:num w:numId="15" w16cid:durableId="1790388778">
    <w:abstractNumId w:val="10"/>
  </w:num>
  <w:num w:numId="16" w16cid:durableId="1358508703">
    <w:abstractNumId w:val="17"/>
  </w:num>
  <w:num w:numId="17" w16cid:durableId="367687229">
    <w:abstractNumId w:val="12"/>
  </w:num>
  <w:num w:numId="18" w16cid:durableId="2060325102">
    <w:abstractNumId w:val="20"/>
  </w:num>
  <w:num w:numId="19" w16cid:durableId="1455058939">
    <w:abstractNumId w:val="22"/>
  </w:num>
  <w:num w:numId="20" w16cid:durableId="218784365">
    <w:abstractNumId w:val="19"/>
  </w:num>
  <w:num w:numId="21" w16cid:durableId="678699426">
    <w:abstractNumId w:val="23"/>
  </w:num>
  <w:num w:numId="22" w16cid:durableId="1650204670">
    <w:abstractNumId w:val="16"/>
  </w:num>
  <w:num w:numId="23" w16cid:durableId="315038114">
    <w:abstractNumId w:val="14"/>
  </w:num>
  <w:num w:numId="24" w16cid:durableId="501168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42"/>
    <w:rsid w:val="00002094"/>
    <w:rsid w:val="00011FA3"/>
    <w:rsid w:val="00095847"/>
    <w:rsid w:val="000E7F98"/>
    <w:rsid w:val="001333CF"/>
    <w:rsid w:val="001D149D"/>
    <w:rsid w:val="00207CF1"/>
    <w:rsid w:val="00216C07"/>
    <w:rsid w:val="00233C2B"/>
    <w:rsid w:val="00283D26"/>
    <w:rsid w:val="002F4B19"/>
    <w:rsid w:val="00353DDE"/>
    <w:rsid w:val="004658A4"/>
    <w:rsid w:val="006E6247"/>
    <w:rsid w:val="0073164F"/>
    <w:rsid w:val="00765CB5"/>
    <w:rsid w:val="007C2DB0"/>
    <w:rsid w:val="007F4075"/>
    <w:rsid w:val="008B6170"/>
    <w:rsid w:val="008C3FD1"/>
    <w:rsid w:val="00910975"/>
    <w:rsid w:val="0091597B"/>
    <w:rsid w:val="009559C9"/>
    <w:rsid w:val="009D5B27"/>
    <w:rsid w:val="00A44942"/>
    <w:rsid w:val="00A80ED2"/>
    <w:rsid w:val="00AF55B2"/>
    <w:rsid w:val="00B3151B"/>
    <w:rsid w:val="00B31ACF"/>
    <w:rsid w:val="00B563ED"/>
    <w:rsid w:val="00C40EE3"/>
    <w:rsid w:val="00C917E1"/>
    <w:rsid w:val="00DC2FCD"/>
    <w:rsid w:val="00E365FE"/>
    <w:rsid w:val="00E70AD5"/>
    <w:rsid w:val="00F7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8CC3"/>
  <w15:docId w15:val="{DF45AC5F-ECF2-428A-8709-693315FB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B27"/>
    <w:pPr>
      <w:spacing w:after="120" w:line="264" w:lineRule="auto"/>
    </w:pPr>
    <w:rPr>
      <w:rFonts w:ascii="Times New Roman" w:hAnsi="Times New Roman"/>
      <w:sz w:val="20"/>
    </w:rPr>
  </w:style>
  <w:style w:type="paragraph" w:styleId="Heading1">
    <w:name w:val="heading 1"/>
    <w:next w:val="Normal"/>
    <w:link w:val="Heading1Char"/>
    <w:uiPriority w:val="9"/>
    <w:qFormat/>
    <w:rsid w:val="009D5B27"/>
    <w:pPr>
      <w:keepNext/>
      <w:keepLines/>
      <w:spacing w:after="120" w:line="264" w:lineRule="auto"/>
      <w:outlineLvl w:val="0"/>
    </w:pPr>
    <w:rPr>
      <w:rFonts w:ascii="Times New Roman" w:eastAsiaTheme="majorEastAsia" w:hAnsi="Times New Roman" w:cstheme="majorBidi"/>
      <w:b/>
      <w:bCs/>
      <w:caps/>
      <w:color w:val="083B92" w:themeColor="accent2"/>
      <w:sz w:val="32"/>
      <w:szCs w:val="28"/>
    </w:rPr>
  </w:style>
  <w:style w:type="paragraph" w:styleId="Heading2">
    <w:name w:val="heading 2"/>
    <w:next w:val="Normal"/>
    <w:link w:val="Heading2Char"/>
    <w:uiPriority w:val="9"/>
    <w:unhideWhenUsed/>
    <w:qFormat/>
    <w:rsid w:val="009D5B27"/>
    <w:pPr>
      <w:keepNext/>
      <w:keepLines/>
      <w:numPr>
        <w:ilvl w:val="1"/>
        <w:numId w:val="13"/>
      </w:numPr>
      <w:spacing w:before="120" w:after="120" w:line="264" w:lineRule="auto"/>
      <w:outlineLvl w:val="1"/>
    </w:pPr>
    <w:rPr>
      <w:rFonts w:ascii="Times New Roman" w:eastAsiaTheme="majorEastAsia" w:hAnsi="Times New Roman" w:cstheme="majorBidi"/>
      <w:b/>
      <w:bCs/>
      <w:color w:val="3E91F8" w:themeColor="accent3"/>
      <w:sz w:val="24"/>
      <w:szCs w:val="26"/>
    </w:rPr>
  </w:style>
  <w:style w:type="paragraph" w:styleId="Heading3">
    <w:name w:val="heading 3"/>
    <w:next w:val="Normal"/>
    <w:link w:val="Heading3Char"/>
    <w:uiPriority w:val="9"/>
    <w:unhideWhenUsed/>
    <w:qFormat/>
    <w:rsid w:val="009D5B27"/>
    <w:pPr>
      <w:keepNext/>
      <w:keepLines/>
      <w:numPr>
        <w:ilvl w:val="2"/>
        <w:numId w:val="21"/>
      </w:numPr>
      <w:spacing w:before="120" w:after="120" w:line="264" w:lineRule="auto"/>
      <w:outlineLvl w:val="2"/>
    </w:pPr>
    <w:rPr>
      <w:rFonts w:ascii="Times New Roman" w:eastAsiaTheme="majorEastAsia" w:hAnsi="Times New Roman" w:cstheme="majorBidi"/>
      <w:bCs/>
      <w:sz w:val="20"/>
    </w:rPr>
  </w:style>
  <w:style w:type="paragraph" w:styleId="Heading4">
    <w:name w:val="heading 4"/>
    <w:next w:val="Normal"/>
    <w:link w:val="Heading4Char"/>
    <w:uiPriority w:val="9"/>
    <w:unhideWhenUsed/>
    <w:qFormat/>
    <w:rsid w:val="009D5B27"/>
    <w:pPr>
      <w:keepNext/>
      <w:keepLines/>
      <w:numPr>
        <w:ilvl w:val="3"/>
        <w:numId w:val="22"/>
      </w:numPr>
      <w:tabs>
        <w:tab w:val="left" w:pos="990"/>
      </w:tabs>
      <w:spacing w:before="120" w:after="120" w:line="264" w:lineRule="auto"/>
      <w:outlineLvl w:val="3"/>
    </w:pPr>
    <w:rPr>
      <w:rFonts w:ascii="Times New Roman" w:eastAsiaTheme="majorEastAsia" w:hAnsi="Times New Roman" w:cstheme="majorBidi"/>
      <w:bCs/>
      <w:iCs/>
      <w:sz w:val="20"/>
    </w:rPr>
  </w:style>
  <w:style w:type="paragraph" w:styleId="Heading5">
    <w:name w:val="heading 5"/>
    <w:basedOn w:val="Normal"/>
    <w:next w:val="Normal"/>
    <w:link w:val="Heading5Char"/>
    <w:uiPriority w:val="9"/>
    <w:semiHidden/>
    <w:unhideWhenUsed/>
    <w:qFormat/>
    <w:rsid w:val="00F755DB"/>
    <w:pPr>
      <w:keepNext/>
      <w:keepLines/>
      <w:numPr>
        <w:ilvl w:val="4"/>
        <w:numId w:val="13"/>
      </w:numPr>
      <w:spacing w:before="200" w:after="0"/>
      <w:outlineLvl w:val="4"/>
    </w:pPr>
    <w:rPr>
      <w:rFonts w:eastAsiaTheme="majorEastAsia" w:cstheme="majorBidi"/>
      <w:color w:val="010F23" w:themeColor="accent1" w:themeShade="7F"/>
    </w:rPr>
  </w:style>
  <w:style w:type="paragraph" w:styleId="Heading6">
    <w:name w:val="heading 6"/>
    <w:basedOn w:val="Normal"/>
    <w:next w:val="Normal"/>
    <w:link w:val="Heading6Char"/>
    <w:uiPriority w:val="9"/>
    <w:semiHidden/>
    <w:unhideWhenUsed/>
    <w:qFormat/>
    <w:rsid w:val="002F4B19"/>
    <w:pPr>
      <w:keepNext/>
      <w:keepLines/>
      <w:numPr>
        <w:ilvl w:val="5"/>
        <w:numId w:val="13"/>
      </w:numPr>
      <w:spacing w:before="200" w:after="0"/>
      <w:outlineLvl w:val="5"/>
    </w:pPr>
    <w:rPr>
      <w:rFonts w:asciiTheme="majorHAnsi" w:eastAsiaTheme="majorEastAsia" w:hAnsiTheme="majorHAnsi" w:cstheme="majorBidi"/>
      <w:i/>
      <w:iCs/>
      <w:color w:val="010F23" w:themeColor="accent1" w:themeShade="7F"/>
    </w:rPr>
  </w:style>
  <w:style w:type="paragraph" w:styleId="Heading7">
    <w:name w:val="heading 7"/>
    <w:basedOn w:val="Normal"/>
    <w:next w:val="Normal"/>
    <w:link w:val="Heading7Char"/>
    <w:uiPriority w:val="9"/>
    <w:semiHidden/>
    <w:unhideWhenUsed/>
    <w:qFormat/>
    <w:rsid w:val="002F4B1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4B19"/>
    <w:pPr>
      <w:keepNext/>
      <w:keepLines/>
      <w:numPr>
        <w:ilvl w:val="7"/>
        <w:numId w:val="1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2F4B1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unhideWhenUsed/>
    <w:rsid w:val="00A4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42"/>
  </w:style>
  <w:style w:type="paragraph" w:styleId="Footer">
    <w:name w:val="footer"/>
    <w:basedOn w:val="Normal"/>
    <w:link w:val="FooterChar"/>
    <w:uiPriority w:val="99"/>
    <w:unhideWhenUsed/>
    <w:rsid w:val="00A4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42"/>
  </w:style>
  <w:style w:type="paragraph" w:styleId="BalloonText">
    <w:name w:val="Balloon Text"/>
    <w:basedOn w:val="Normal"/>
    <w:link w:val="BalloonTextChar"/>
    <w:uiPriority w:val="99"/>
    <w:semiHidden/>
    <w:unhideWhenUsed/>
    <w:rsid w:val="00A44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42"/>
    <w:rPr>
      <w:rFonts w:ascii="Tahoma" w:hAnsi="Tahoma" w:cs="Tahoma"/>
      <w:sz w:val="16"/>
      <w:szCs w:val="16"/>
    </w:rPr>
  </w:style>
  <w:style w:type="paragraph" w:styleId="Title">
    <w:name w:val="Title"/>
    <w:next w:val="Normal"/>
    <w:link w:val="TitleChar"/>
    <w:uiPriority w:val="10"/>
    <w:qFormat/>
    <w:rsid w:val="009D5B27"/>
    <w:pPr>
      <w:spacing w:after="300" w:line="240" w:lineRule="auto"/>
      <w:contextualSpacing/>
      <w:jc w:val="center"/>
    </w:pPr>
    <w:rPr>
      <w:rFonts w:ascii="Times New Roman" w:eastAsiaTheme="majorEastAsia" w:hAnsi="Times New Roman" w:cstheme="majorBidi"/>
      <w:b/>
      <w:color w:val="00316C"/>
      <w:spacing w:val="5"/>
      <w:kern w:val="28"/>
      <w:sz w:val="72"/>
      <w:szCs w:val="52"/>
    </w:rPr>
  </w:style>
  <w:style w:type="character" w:customStyle="1" w:styleId="TitleChar">
    <w:name w:val="Title Char"/>
    <w:basedOn w:val="DefaultParagraphFont"/>
    <w:link w:val="Title"/>
    <w:uiPriority w:val="10"/>
    <w:rsid w:val="009D5B27"/>
    <w:rPr>
      <w:rFonts w:ascii="Times New Roman" w:eastAsiaTheme="majorEastAsia" w:hAnsi="Times New Roman" w:cstheme="majorBidi"/>
      <w:b/>
      <w:color w:val="00316C"/>
      <w:spacing w:val="5"/>
      <w:kern w:val="28"/>
      <w:sz w:val="72"/>
      <w:szCs w:val="52"/>
    </w:rPr>
  </w:style>
  <w:style w:type="character" w:customStyle="1" w:styleId="Heading1Char">
    <w:name w:val="Heading 1 Char"/>
    <w:basedOn w:val="DefaultParagraphFont"/>
    <w:link w:val="Heading1"/>
    <w:uiPriority w:val="9"/>
    <w:rsid w:val="009D5B27"/>
    <w:rPr>
      <w:rFonts w:ascii="Times New Roman" w:eastAsiaTheme="majorEastAsia" w:hAnsi="Times New Roman" w:cstheme="majorBidi"/>
      <w:b/>
      <w:bCs/>
      <w:caps/>
      <w:color w:val="083B92" w:themeColor="accent2"/>
      <w:sz w:val="32"/>
      <w:szCs w:val="28"/>
    </w:rPr>
  </w:style>
  <w:style w:type="character" w:customStyle="1" w:styleId="Heading2Char">
    <w:name w:val="Heading 2 Char"/>
    <w:basedOn w:val="DefaultParagraphFont"/>
    <w:link w:val="Heading2"/>
    <w:uiPriority w:val="9"/>
    <w:rsid w:val="009D5B27"/>
    <w:rPr>
      <w:rFonts w:ascii="Times New Roman" w:eastAsiaTheme="majorEastAsia" w:hAnsi="Times New Roman" w:cstheme="majorBidi"/>
      <w:b/>
      <w:bCs/>
      <w:color w:val="3E91F8" w:themeColor="accent3"/>
      <w:sz w:val="24"/>
      <w:szCs w:val="26"/>
    </w:rPr>
  </w:style>
  <w:style w:type="character" w:customStyle="1" w:styleId="Heading3Char">
    <w:name w:val="Heading 3 Char"/>
    <w:basedOn w:val="DefaultParagraphFont"/>
    <w:link w:val="Heading3"/>
    <w:uiPriority w:val="9"/>
    <w:rsid w:val="009D5B27"/>
    <w:rPr>
      <w:rFonts w:ascii="Times New Roman" w:eastAsiaTheme="majorEastAsia" w:hAnsi="Times New Roman" w:cstheme="majorBidi"/>
      <w:bCs/>
      <w:sz w:val="20"/>
    </w:rPr>
  </w:style>
  <w:style w:type="character" w:customStyle="1" w:styleId="Heading4Char">
    <w:name w:val="Heading 4 Char"/>
    <w:basedOn w:val="DefaultParagraphFont"/>
    <w:link w:val="Heading4"/>
    <w:uiPriority w:val="9"/>
    <w:rsid w:val="009D5B27"/>
    <w:rPr>
      <w:rFonts w:ascii="Times New Roman" w:eastAsiaTheme="majorEastAsia" w:hAnsi="Times New Roman" w:cstheme="majorBidi"/>
      <w:bCs/>
      <w:iCs/>
      <w:sz w:val="20"/>
    </w:rPr>
  </w:style>
  <w:style w:type="paragraph" w:styleId="ListBullet">
    <w:name w:val="List Bullet"/>
    <w:uiPriority w:val="99"/>
    <w:unhideWhenUsed/>
    <w:rsid w:val="00F755DB"/>
    <w:pPr>
      <w:numPr>
        <w:numId w:val="14"/>
      </w:numPr>
      <w:spacing w:before="120" w:after="120" w:line="264" w:lineRule="auto"/>
    </w:pPr>
    <w:rPr>
      <w:rFonts w:ascii="Book Antiqua" w:hAnsi="Book Antiqua"/>
      <w:sz w:val="20"/>
    </w:rPr>
  </w:style>
  <w:style w:type="paragraph" w:styleId="ListBullet2">
    <w:name w:val="List Bullet 2"/>
    <w:uiPriority w:val="99"/>
    <w:unhideWhenUsed/>
    <w:rsid w:val="00F755DB"/>
    <w:pPr>
      <w:numPr>
        <w:numId w:val="15"/>
      </w:numPr>
      <w:spacing w:before="120" w:after="120" w:line="264" w:lineRule="auto"/>
    </w:pPr>
    <w:rPr>
      <w:rFonts w:ascii="Book Antiqua" w:hAnsi="Book Antiqua"/>
      <w:sz w:val="20"/>
    </w:rPr>
  </w:style>
  <w:style w:type="character" w:customStyle="1" w:styleId="Heading5Char">
    <w:name w:val="Heading 5 Char"/>
    <w:basedOn w:val="DefaultParagraphFont"/>
    <w:link w:val="Heading5"/>
    <w:uiPriority w:val="9"/>
    <w:semiHidden/>
    <w:rsid w:val="00F755DB"/>
    <w:rPr>
      <w:rFonts w:ascii="Book Antiqua" w:eastAsiaTheme="majorEastAsia" w:hAnsi="Book Antiqua" w:cstheme="majorBidi"/>
      <w:color w:val="010F23" w:themeColor="accent1" w:themeShade="7F"/>
      <w:sz w:val="20"/>
    </w:rPr>
  </w:style>
  <w:style w:type="character" w:customStyle="1" w:styleId="Heading6Char">
    <w:name w:val="Heading 6 Char"/>
    <w:basedOn w:val="DefaultParagraphFont"/>
    <w:link w:val="Heading6"/>
    <w:uiPriority w:val="9"/>
    <w:semiHidden/>
    <w:rsid w:val="002F4B19"/>
    <w:rPr>
      <w:rFonts w:asciiTheme="majorHAnsi" w:eastAsiaTheme="majorEastAsia" w:hAnsiTheme="majorHAnsi" w:cstheme="majorBidi"/>
      <w:i/>
      <w:iCs/>
      <w:color w:val="010F23" w:themeColor="accent1" w:themeShade="7F"/>
      <w:sz w:val="20"/>
    </w:rPr>
  </w:style>
  <w:style w:type="character" w:customStyle="1" w:styleId="Heading7Char">
    <w:name w:val="Heading 7 Char"/>
    <w:basedOn w:val="DefaultParagraphFont"/>
    <w:link w:val="Heading7"/>
    <w:uiPriority w:val="9"/>
    <w:semiHidden/>
    <w:rsid w:val="002F4B1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F4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4B19"/>
    <w:rPr>
      <w:rFonts w:asciiTheme="majorHAnsi" w:eastAsiaTheme="majorEastAsia" w:hAnsiTheme="majorHAnsi" w:cstheme="majorBidi"/>
      <w:i/>
      <w:iCs/>
      <w:color w:val="404040" w:themeColor="text1" w:themeTint="BF"/>
      <w:sz w:val="20"/>
      <w:szCs w:val="20"/>
    </w:rPr>
  </w:style>
  <w:style w:type="paragraph" w:customStyle="1" w:styleId="TABLE">
    <w:name w:val="TABLE"/>
    <w:link w:val="TABLEChar"/>
    <w:rsid w:val="009D5B27"/>
    <w:pPr>
      <w:keepLines/>
      <w:spacing w:before="60" w:after="60" w:line="264" w:lineRule="auto"/>
    </w:pPr>
    <w:rPr>
      <w:rFonts w:ascii="Times New Roman" w:eastAsia="Times New Roman" w:hAnsi="Times New Roman" w:cs="Arial"/>
      <w:b/>
      <w:sz w:val="20"/>
      <w:szCs w:val="20"/>
      <w:lang w:val="en-ZA"/>
    </w:rPr>
  </w:style>
  <w:style w:type="character" w:customStyle="1" w:styleId="TABLEChar">
    <w:name w:val="TABLE Char"/>
    <w:basedOn w:val="DefaultParagraphFont"/>
    <w:link w:val="TABLE"/>
    <w:rsid w:val="009D5B27"/>
    <w:rPr>
      <w:rFonts w:ascii="Times New Roman" w:eastAsia="Times New Roman" w:hAnsi="Times New Roman" w:cs="Arial"/>
      <w:b/>
      <w:sz w:val="20"/>
      <w:szCs w:val="20"/>
      <w:lang w:val="en-ZA"/>
    </w:rPr>
  </w:style>
  <w:style w:type="paragraph" w:customStyle="1" w:styleId="Appendix">
    <w:name w:val="Appendix"/>
    <w:basedOn w:val="Heading1"/>
    <w:next w:val="Normal"/>
    <w:qFormat/>
    <w:rsid w:val="009D5B27"/>
    <w:pPr>
      <w:spacing w:before="120"/>
      <w:ind w:left="720" w:hanging="720"/>
    </w:pPr>
    <w:rPr>
      <w:bCs w:val="0"/>
      <w:caps w:val="0"/>
      <w:sz w:val="24"/>
    </w:rPr>
  </w:style>
  <w:style w:type="paragraph" w:styleId="TOC1">
    <w:name w:val="toc 1"/>
    <w:autoRedefine/>
    <w:uiPriority w:val="39"/>
    <w:unhideWhenUsed/>
    <w:rsid w:val="009D5B27"/>
    <w:pPr>
      <w:spacing w:before="120" w:after="120" w:line="264" w:lineRule="auto"/>
      <w:ind w:left="720" w:hanging="720"/>
    </w:pPr>
    <w:rPr>
      <w:rFonts w:ascii="Times New Roman" w:eastAsiaTheme="majorEastAsia" w:hAnsi="Times New Roman" w:cstheme="majorBidi"/>
      <w:caps/>
      <w:sz w:val="20"/>
      <w:szCs w:val="28"/>
    </w:rPr>
  </w:style>
  <w:style w:type="character" w:styleId="Hyperlink">
    <w:name w:val="Hyperlink"/>
    <w:basedOn w:val="DefaultParagraphFont"/>
    <w:uiPriority w:val="99"/>
    <w:unhideWhenUsed/>
    <w:rsid w:val="002F4B19"/>
    <w:rPr>
      <w:color w:val="083B92" w:themeColor="hyperlink"/>
      <w:u w:val="single"/>
    </w:rPr>
  </w:style>
  <w:style w:type="paragraph" w:styleId="TOC2">
    <w:name w:val="toc 2"/>
    <w:autoRedefine/>
    <w:uiPriority w:val="39"/>
    <w:unhideWhenUsed/>
    <w:rsid w:val="009D5B27"/>
    <w:pPr>
      <w:spacing w:after="0" w:line="264" w:lineRule="auto"/>
      <w:ind w:left="720" w:hanging="720"/>
    </w:pPr>
    <w:rPr>
      <w:rFonts w:ascii="Times New Roman" w:hAnsi="Times New Roman"/>
      <w:sz w:val="20"/>
    </w:rPr>
  </w:style>
  <w:style w:type="paragraph" w:styleId="ListParagraph">
    <w:name w:val="List Paragraph"/>
    <w:basedOn w:val="Normal"/>
    <w:uiPriority w:val="34"/>
    <w:qFormat/>
    <w:rsid w:val="00F755DB"/>
    <w:pPr>
      <w:ind w:left="720"/>
      <w:contextualSpacing/>
    </w:pPr>
  </w:style>
  <w:style w:type="numbering" w:customStyle="1" w:styleId="Style1">
    <w:name w:val="Style1"/>
    <w:uiPriority w:val="99"/>
    <w:rsid w:val="009D5B27"/>
    <w:pPr>
      <w:numPr>
        <w:numId w:val="17"/>
      </w:numPr>
    </w:pPr>
  </w:style>
  <w:style w:type="paragraph" w:customStyle="1" w:styleId="Bullet1">
    <w:name w:val="Bullet1"/>
    <w:basedOn w:val="Normal"/>
    <w:rsid w:val="009D5B27"/>
    <w:pPr>
      <w:numPr>
        <w:numId w:val="23"/>
      </w:numPr>
    </w:pPr>
  </w:style>
  <w:style w:type="paragraph" w:customStyle="1" w:styleId="Bullet2">
    <w:name w:val="Bullet2"/>
    <w:basedOn w:val="Normal"/>
    <w:rsid w:val="009D5B27"/>
    <w:pPr>
      <w:numPr>
        <w:numId w:val="24"/>
      </w:numPr>
    </w:pPr>
  </w:style>
  <w:style w:type="table" w:styleId="TableGrid">
    <w:name w:val="Table Grid"/>
    <w:basedOn w:val="TableNormal"/>
    <w:rsid w:val="0046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6247"/>
    <w:pPr>
      <w:widowControl w:val="0"/>
      <w:autoSpaceDE w:val="0"/>
      <w:autoSpaceDN w:val="0"/>
      <w:spacing w:after="0" w:line="240" w:lineRule="auto"/>
    </w:pPr>
    <w:rPr>
      <w:rFonts w:ascii="Tw Cen MT" w:eastAsia="Tw Cen MT" w:hAnsi="Tw Cen MT" w:cs="Tw Cen M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90519">
      <w:bodyDiv w:val="1"/>
      <w:marLeft w:val="0"/>
      <w:marRight w:val="0"/>
      <w:marTop w:val="0"/>
      <w:marBottom w:val="0"/>
      <w:divBdr>
        <w:top w:val="none" w:sz="0" w:space="0" w:color="auto"/>
        <w:left w:val="none" w:sz="0" w:space="0" w:color="auto"/>
        <w:bottom w:val="none" w:sz="0" w:space="0" w:color="auto"/>
        <w:right w:val="none" w:sz="0" w:space="0" w:color="auto"/>
      </w:divBdr>
    </w:div>
    <w:div w:id="1302467310">
      <w:bodyDiv w:val="1"/>
      <w:marLeft w:val="0"/>
      <w:marRight w:val="0"/>
      <w:marTop w:val="0"/>
      <w:marBottom w:val="0"/>
      <w:divBdr>
        <w:top w:val="none" w:sz="0" w:space="0" w:color="auto"/>
        <w:left w:val="none" w:sz="0" w:space="0" w:color="auto"/>
        <w:bottom w:val="none" w:sz="0" w:space="0" w:color="auto"/>
        <w:right w:val="none" w:sz="0" w:space="0" w:color="auto"/>
      </w:divBdr>
    </w:div>
    <w:div w:id="1477449815">
      <w:bodyDiv w:val="1"/>
      <w:marLeft w:val="0"/>
      <w:marRight w:val="0"/>
      <w:marTop w:val="0"/>
      <w:marBottom w:val="0"/>
      <w:divBdr>
        <w:top w:val="none" w:sz="0" w:space="0" w:color="auto"/>
        <w:left w:val="none" w:sz="0" w:space="0" w:color="auto"/>
        <w:bottom w:val="none" w:sz="0" w:space="0" w:color="auto"/>
        <w:right w:val="none" w:sz="0" w:space="0" w:color="auto"/>
      </w:divBdr>
    </w:div>
    <w:div w:id="1767000379">
      <w:bodyDiv w:val="1"/>
      <w:marLeft w:val="0"/>
      <w:marRight w:val="0"/>
      <w:marTop w:val="0"/>
      <w:marBottom w:val="0"/>
      <w:divBdr>
        <w:top w:val="none" w:sz="0" w:space="0" w:color="auto"/>
        <w:left w:val="none" w:sz="0" w:space="0" w:color="auto"/>
        <w:bottom w:val="none" w:sz="0" w:space="0" w:color="auto"/>
        <w:right w:val="none" w:sz="0" w:space="0" w:color="auto"/>
      </w:divBdr>
    </w:div>
    <w:div w:id="1949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NALY">
      <a:dk1>
        <a:sysClr val="windowText" lastClr="000000"/>
      </a:dk1>
      <a:lt1>
        <a:sysClr val="window" lastClr="FFFFFF"/>
      </a:lt1>
      <a:dk2>
        <a:srgbClr val="44546A"/>
      </a:dk2>
      <a:lt2>
        <a:srgbClr val="E7E6E6"/>
      </a:lt2>
      <a:accent1>
        <a:srgbClr val="031F48"/>
      </a:accent1>
      <a:accent2>
        <a:srgbClr val="083B92"/>
      </a:accent2>
      <a:accent3>
        <a:srgbClr val="3E91F8"/>
      </a:accent3>
      <a:accent4>
        <a:srgbClr val="AFABAB"/>
      </a:accent4>
      <a:accent5>
        <a:srgbClr val="475768"/>
      </a:accent5>
      <a:accent6>
        <a:srgbClr val="8BCBFF"/>
      </a:accent6>
      <a:hlink>
        <a:srgbClr val="083B92"/>
      </a:hlink>
      <a:folHlink>
        <a:srgbClr val="475768"/>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97CD4-4034-42D8-81E2-025041AD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brewersd</dc:creator>
  <cp:lastModifiedBy>Thompson, Karen B</cp:lastModifiedBy>
  <cp:revision>2</cp:revision>
  <dcterms:created xsi:type="dcterms:W3CDTF">2023-09-06T15:52:00Z</dcterms:created>
  <dcterms:modified xsi:type="dcterms:W3CDTF">2023-09-06T15:52:00Z</dcterms:modified>
</cp:coreProperties>
</file>